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center" w:leader="none" w:pos="8789"/>
        </w:tabs>
        <w:rPr>
          <w:rFonts w:ascii="Tahoma" w:cs="Tahoma" w:eastAsia="Tahoma" w:hAnsi="Tahoma"/>
          <w:b w:val="1"/>
          <w:bCs w:val="1"/>
          <w:color w:val="1a1a1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center" w:leader="none" w:pos="8789"/>
        </w:tabs>
        <w:rPr>
          <w:rFonts w:ascii="Tahoma" w:cs="Tahoma" w:eastAsia="Tahoma" w:hAnsi="Tahoma"/>
          <w:b w:val="1"/>
          <w:bCs w:val="1"/>
          <w:color w:val="1a1a1a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259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Diplomamunka Témák – Egészségügyi menedzser MSc.</w:t>
      </w:r>
    </w:p>
    <w:p w:rsidR="00000000" w:rsidDel="00000000" w:rsidP="00000000" w:rsidRDefault="00000000" w:rsidRPr="00000000" w14:paraId="00000004">
      <w:pPr>
        <w:spacing w:after="160"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="259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Dr. Boda-Ujlaky Judit Emma: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Munkahelyi motiváció és elégedettség az egészségügyi intézményekben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Kiégés és jóllét az egészségügyi dolgozók körében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Teljesítménymenedzsment az egészségügyi intézményekben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Etikai kihívások a mentális egészség kezelésében</w:t>
      </w:r>
    </w:p>
    <w:p w:rsidR="00000000" w:rsidDel="00000000" w:rsidP="00000000" w:rsidRDefault="00000000" w:rsidRPr="00000000" w14:paraId="0000000A">
      <w:pPr>
        <w:numPr>
          <w:ilvl w:val="0"/>
          <w:numId w:val="3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Egészségszokások megváltoztatása</w:t>
      </w:r>
    </w:p>
    <w:p w:rsidR="00000000" w:rsidDel="00000000" w:rsidP="00000000" w:rsidRDefault="00000000" w:rsidRPr="00000000" w14:paraId="0000000B">
      <w:pPr>
        <w:spacing w:after="160" w:before="120"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before="120" w:line="259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Dr. Szemere Tibor Pál: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Hazai és nemzetközi egészségügyi projektmenedzsment a gyakorlatban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Egészségügyi építőipari beruházási projektmenedzsment elméleti és gyakorlati aspektusai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Start-Up projektek menedzselésének elméleti és gyakorlati aspektusai az egészségügyben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Egészségügyi projektek kockázatmenedzsmentje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Egészségügyi beruházási kockázatok vizsgálata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Fogyasztói magatartásvizsgálat a szolgáltatásmenedzsment aspektusából az egészségügyben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Viselkedés közgazdaságtani kérdések elméleti és gyakorlati aspektusai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Viselkedés közgazdaságtani kutatások összehasonlító elemzése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stressz szerepe a gazdasági döntéshozatalban</w:t>
      </w:r>
    </w:p>
    <w:p w:rsidR="00000000" w:rsidDel="00000000" w:rsidP="00000000" w:rsidRDefault="00000000" w:rsidRPr="00000000" w14:paraId="00000016">
      <w:pPr>
        <w:spacing w:after="160" w:before="120"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60" w:before="120" w:line="259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Dózsa Csaba László: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Népegészségügy – szervezeti innováció: Egészségfejlesztési Irodák (EFI-k) szerepe, lehetőségei, és finanszírozásuk a hazai egészségügyi ellátórendszerben.</w:t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Egészségturizmus szolgáltatásainak fejlesztése egészségügyi intézményekben</w:t>
      </w:r>
    </w:p>
    <w:p w:rsidR="00000000" w:rsidDel="00000000" w:rsidP="00000000" w:rsidRDefault="00000000" w:rsidRPr="00000000" w14:paraId="0000001A">
      <w:pPr>
        <w:numPr>
          <w:ilvl w:val="0"/>
          <w:numId w:val="5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Egészségturisztikai és gyógyturisztikai szolgáltatások fejlődése és elemzése hazai gyógyszállókban</w:t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Integrált ellátó szolgálatok, multidiszciplináris teamek működése a krónikus betegség-gondozási programokban.</w:t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Az egészségügyi alapellátás átalakítása, háziorvosi praxisközösségek, vagy az ügyeleti ellátás átszervezése, vagy a védőnői ellátás átszervezése</w:t>
      </w:r>
    </w:p>
    <w:p w:rsidR="00000000" w:rsidDel="00000000" w:rsidP="00000000" w:rsidRDefault="00000000" w:rsidRPr="00000000" w14:paraId="0000001D">
      <w:pPr>
        <w:spacing w:after="160" w:before="120" w:line="259" w:lineRule="auto"/>
        <w:ind w:left="714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60" w:before="120" w:line="259" w:lineRule="auto"/>
        <w:ind w:left="714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Magán egészségügyi kiadások elemzése, magánbiztosítási és kiegészítő egészségbiztosítási szolgáltatások elemzése</w:t>
      </w:r>
    </w:p>
    <w:p w:rsidR="00000000" w:rsidDel="00000000" w:rsidP="00000000" w:rsidRDefault="00000000" w:rsidRPr="00000000" w14:paraId="00000020">
      <w:pPr>
        <w:numPr>
          <w:ilvl w:val="0"/>
          <w:numId w:val="5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Magán egészségügyi szolgáltatások térnyerésének és jellemzőinek elemzése (főleg Magyarországon).</w:t>
      </w:r>
    </w:p>
    <w:p w:rsidR="00000000" w:rsidDel="00000000" w:rsidP="00000000" w:rsidRDefault="00000000" w:rsidRPr="00000000" w14:paraId="00000021">
      <w:pPr>
        <w:numPr>
          <w:ilvl w:val="0"/>
          <w:numId w:val="5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sürgősségi ellátórendszer vagy a rehabilitációs ellátórendszer fejlődése a hazai és az európai Uniós támogatási programok tükrében</w:t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Struktúra-átalakítás a hazai egészségügyben, a kórház centrikusság csökkentése érdekében - hatékonysági tartalékok, intézményi profilváltások elemzése</w:t>
      </w:r>
    </w:p>
    <w:p w:rsidR="00000000" w:rsidDel="00000000" w:rsidP="00000000" w:rsidRDefault="00000000" w:rsidRPr="00000000" w14:paraId="00000023">
      <w:pPr>
        <w:numPr>
          <w:ilvl w:val="0"/>
          <w:numId w:val="5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járóbeteg szakellátás változó szerepe az egészségügyben, valamint kórházi ellátásokat kiváltó ellátási formák vizsgálata (egynapos sebészet, kúraszerű ellátások, nappali kórház, otthoni szakápolás)</w:t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Finanszírozási technikák, ösztönzők elemzése a hazai egészségügyi rendszerben (fejkvóta, vagy HBCS, vagy napidíj, vagy tételes finanszírozás)</w:t>
      </w:r>
    </w:p>
    <w:p w:rsidR="00000000" w:rsidDel="00000000" w:rsidP="00000000" w:rsidRDefault="00000000" w:rsidRPr="00000000" w14:paraId="00000025">
      <w:pPr>
        <w:numPr>
          <w:ilvl w:val="0"/>
          <w:numId w:val="5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Betegelégedettség és hozzáférési esélyek elemzése a hazai egészségügyben</w:t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Humánerőforrás helyzet és humánerőforrás menedzsment az egészségügyben, országos adatok és esettanulmányok alapján</w:t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Rehabilitációs ellátók fejlesztése a magyar egészségügyben (főként az ambuláns rehabilitációban rejlő lehetőségek)</w:t>
      </w:r>
    </w:p>
    <w:p w:rsidR="00000000" w:rsidDel="00000000" w:rsidP="00000000" w:rsidRDefault="00000000" w:rsidRPr="00000000" w14:paraId="00000028">
      <w:pPr>
        <w:numPr>
          <w:ilvl w:val="0"/>
          <w:numId w:val="5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Gyógyászati ellátások elemzése, fejlesztése, gyógyfürdő támogatás elemzése</w:t>
      </w:r>
    </w:p>
    <w:p w:rsidR="00000000" w:rsidDel="00000000" w:rsidP="00000000" w:rsidRDefault="00000000" w:rsidRPr="00000000" w14:paraId="00000029">
      <w:pPr>
        <w:numPr>
          <w:ilvl w:val="0"/>
          <w:numId w:val="5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Betegelégedettség / ügyfél elégedettség mérés konkrét intézmények, szolgáltatók esetében</w:t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Integrált egészségügyi és szociális ellátások fejlesztése Magyarországon, eseti példák feldolgozása, vagy üzleti tervezése</w:t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Idősek bentlakásos intézeti vagy otthoni ellátási formáinak fejlesztése és szervezése a hazai egészségügyben (esetpéldával alátámasztva)</w:t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Mesterséges Intelligenciával (MI) támogatott és/vagy Infokummuniációs - távfelügyeleti lehetőségek a gyógyításban, rehabilitációban és rekreációban</w:t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Integrált egészségügyi és szociális szolgáltatások költség- és ráfordítás elemzése</w:t>
      </w:r>
    </w:p>
    <w:p w:rsidR="00000000" w:rsidDel="00000000" w:rsidP="00000000" w:rsidRDefault="00000000" w:rsidRPr="00000000" w14:paraId="0000002E">
      <w:pPr>
        <w:spacing w:after="160" w:before="120"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60" w:before="120" w:line="259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Dr. Girasek Edmond:</w:t>
      </w:r>
    </w:p>
    <w:p w:rsidR="00000000" w:rsidDel="00000000" w:rsidP="00000000" w:rsidRDefault="00000000" w:rsidRPr="00000000" w14:paraId="00000030">
      <w:pPr>
        <w:numPr>
          <w:ilvl w:val="0"/>
          <w:numId w:val="6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Egyenlőtlenségek az egészségügyi rendszerben.</w:t>
      </w:r>
    </w:p>
    <w:p w:rsidR="00000000" w:rsidDel="00000000" w:rsidP="00000000" w:rsidRDefault="00000000" w:rsidRPr="00000000" w14:paraId="00000031">
      <w:pPr>
        <w:numPr>
          <w:ilvl w:val="0"/>
          <w:numId w:val="6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Digitális egészségügyi megoldása hatása az egészségügyi ellátásra.</w:t>
      </w:r>
    </w:p>
    <w:p w:rsidR="00000000" w:rsidDel="00000000" w:rsidP="00000000" w:rsidRDefault="00000000" w:rsidRPr="00000000" w14:paraId="00000032">
      <w:pPr>
        <w:spacing w:after="160" w:before="120"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160" w:before="120" w:line="259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Dr. Kassay Lili Andrea:</w:t>
      </w:r>
    </w:p>
    <w:p w:rsidR="00000000" w:rsidDel="00000000" w:rsidP="00000000" w:rsidRDefault="00000000" w:rsidRPr="00000000" w14:paraId="00000034">
      <w:pPr>
        <w:numPr>
          <w:ilvl w:val="0"/>
          <w:numId w:val="7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Betegélmény és szolgáltatásminőség menedzsment az egészségügyi intézményekben</w:t>
      </w:r>
    </w:p>
    <w:p w:rsidR="00000000" w:rsidDel="00000000" w:rsidP="00000000" w:rsidRDefault="00000000" w:rsidRPr="00000000" w14:paraId="00000035">
      <w:pPr>
        <w:numPr>
          <w:ilvl w:val="0"/>
          <w:numId w:val="7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Marketing és kommunikáció az egészségügyi szolgáltatásokban</w:t>
      </w:r>
    </w:p>
    <w:p w:rsidR="00000000" w:rsidDel="00000000" w:rsidP="00000000" w:rsidRDefault="00000000" w:rsidRPr="00000000" w14:paraId="00000036">
      <w:pPr>
        <w:numPr>
          <w:ilvl w:val="0"/>
          <w:numId w:val="7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Folyamatszervezés kihívásai az egészségmenedzser számára</w:t>
      </w:r>
    </w:p>
    <w:p w:rsidR="00000000" w:rsidDel="00000000" w:rsidP="00000000" w:rsidRDefault="00000000" w:rsidRPr="00000000" w14:paraId="00000037">
      <w:pPr>
        <w:spacing w:after="160" w:before="120"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160" w:before="120" w:line="259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Dr. Törzsök Péter:</w:t>
      </w:r>
    </w:p>
    <w:p w:rsidR="00000000" w:rsidDel="00000000" w:rsidP="00000000" w:rsidRDefault="00000000" w:rsidRPr="00000000" w14:paraId="00000039">
      <w:pPr>
        <w:numPr>
          <w:ilvl w:val="0"/>
          <w:numId w:val="8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kommunikáció szerepe a betegbiztonságban</w:t>
      </w:r>
    </w:p>
    <w:p w:rsidR="00000000" w:rsidDel="00000000" w:rsidP="00000000" w:rsidRDefault="00000000" w:rsidRPr="00000000" w14:paraId="0000003A">
      <w:pPr>
        <w:numPr>
          <w:ilvl w:val="0"/>
          <w:numId w:val="8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legfontosabb minőségügyi indikátorok az egynapos sebészetben</w:t>
      </w:r>
    </w:p>
    <w:p w:rsidR="00000000" w:rsidDel="00000000" w:rsidP="00000000" w:rsidRDefault="00000000" w:rsidRPr="00000000" w14:paraId="0000003B">
      <w:pPr>
        <w:numPr>
          <w:ilvl w:val="0"/>
          <w:numId w:val="8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motivátorok szerepe az egészségügyi minőségbiztosításban</w:t>
      </w:r>
    </w:p>
    <w:p w:rsidR="00000000" w:rsidDel="00000000" w:rsidP="00000000" w:rsidRDefault="00000000" w:rsidRPr="00000000" w14:paraId="0000003C">
      <w:pPr>
        <w:spacing w:after="160" w:before="120"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160" w:before="120" w:line="259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Dr. Szepesváry Zsolt Jenő:</w:t>
      </w:r>
    </w:p>
    <w:p w:rsidR="00000000" w:rsidDel="00000000" w:rsidP="00000000" w:rsidRDefault="00000000" w:rsidRPr="00000000" w14:paraId="0000003E">
      <w:pPr>
        <w:numPr>
          <w:ilvl w:val="0"/>
          <w:numId w:val="9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Magyarországon használatos kórházi szoftverek erőforrás igényeinek felmérése</w:t>
      </w:r>
    </w:p>
    <w:p w:rsidR="00000000" w:rsidDel="00000000" w:rsidP="00000000" w:rsidRDefault="00000000" w:rsidRPr="00000000" w14:paraId="0000003F">
      <w:pPr>
        <w:numPr>
          <w:ilvl w:val="0"/>
          <w:numId w:val="9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Sebészeti robotok fejlesztési irányai, gazdasági mutatói</w:t>
      </w:r>
    </w:p>
    <w:p w:rsidR="00000000" w:rsidDel="00000000" w:rsidP="00000000" w:rsidRDefault="00000000" w:rsidRPr="00000000" w14:paraId="00000040">
      <w:pPr>
        <w:spacing w:after="160" w:before="120"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60" w:before="120" w:line="259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Dr. Hermann Csaba Gyula: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hazai egészségügyi rendszer finanszírozásának etikai kérdései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HBCS rendszer előnyei és hátrányai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Életvégi döntések etikai és gazdasági vetületei</w:t>
      </w:r>
    </w:p>
    <w:p w:rsidR="00000000" w:rsidDel="00000000" w:rsidP="00000000" w:rsidRDefault="00000000" w:rsidRPr="00000000" w14:paraId="00000045">
      <w:pPr>
        <w:spacing w:after="160" w:before="120" w:line="259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160" w:before="120" w:line="259" w:lineRule="auto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Dr. Boros Szilvia: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Táplálkozás, szarkopénia, jóllét összefüggései 55 év felettiek körében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Mozgásszervi betegségek, alvás és életminőség kapcsolata 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Tartási rendellenességek, testmozgás és jóllét kapcsolata 5-6. osztályos tanulók körében</w:t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munkahelyi mentális egészség és a középvezetői kompetenciafejlesztés összefüggései</w:t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spacing w:after="160" w:before="120" w:line="259" w:lineRule="auto"/>
        <w:ind w:left="714" w:hanging="357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Egészségügyben dolgozók mentális egészsége</w:t>
      </w:r>
    </w:p>
    <w:p w:rsidR="00000000" w:rsidDel="00000000" w:rsidP="00000000" w:rsidRDefault="00000000" w:rsidRPr="00000000" w14:paraId="0000004C">
      <w:pPr>
        <w:tabs>
          <w:tab w:val="center" w:leader="none" w:pos="8789"/>
        </w:tabs>
        <w:rPr>
          <w:rFonts w:ascii="Tahoma" w:cs="Tahoma" w:eastAsia="Tahoma" w:hAnsi="Tahoma"/>
          <w:color w:val="1a1a1a"/>
          <w:sz w:val="16"/>
          <w:szCs w:val="16"/>
        </w:rPr>
      </w:pPr>
      <w:r w:rsidDel="00000000" w:rsidR="00000000" w:rsidRPr="00000000">
        <w:rPr>
          <w:rFonts w:ascii="Tahoma" w:cs="Tahoma" w:eastAsia="Tahoma" w:hAnsi="Tahoma"/>
          <w:color w:val="1a1a1a"/>
          <w:sz w:val="16"/>
          <w:szCs w:val="16"/>
          <w:rtl w:val="0"/>
        </w:rPr>
        <w:t xml:space="preserve"> 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0" w:orient="portrait"/>
      <w:pgMar w:bottom="907" w:top="1021" w:left="907" w:right="907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tabs>
        <w:tab w:val="left" w:leader="none" w:pos="7749"/>
      </w:tabs>
      <w:rPr>
        <w:rFonts w:ascii="Tahoma" w:cs="Tahoma" w:eastAsia="Tahoma" w:hAnsi="Tahoma"/>
        <w:b w:val="1"/>
        <w:bCs w:val="1"/>
        <w:color w:val="1a1a1a"/>
        <w:sz w:val="18"/>
        <w:szCs w:val="18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tabs>
        <w:tab w:val="left" w:leader="none" w:pos="1304"/>
      </w:tabs>
      <w:rPr>
        <w:rFonts w:ascii="Tahoma" w:cs="Tahoma" w:eastAsia="Tahoma" w:hAnsi="Tahoma"/>
        <w:b w:val="1"/>
        <w:bCs w:val="1"/>
        <w:color w:val="ffffff"/>
        <w:sz w:val="18"/>
        <w:szCs w:val="18"/>
      </w:rPr>
    </w:pPr>
    <w:r w:rsidDel="00000000" w:rsidR="00000000" w:rsidRPr="00000000">
      <w:rPr>
        <w:rFonts w:ascii="Tahoma" w:cs="Tahoma" w:eastAsia="Tahoma" w:hAnsi="Tahoma"/>
        <w:b w:val="1"/>
        <w:bCs w:val="1"/>
        <w:color w:val="ffffff"/>
        <w:sz w:val="18"/>
        <w:szCs w:val="18"/>
        <w:rtl w:val="0"/>
      </w:rPr>
      <w:tab/>
      <w:t xml:space="preserve">SZERVEZETI EGYSÉG FELIRATTAL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3809</wp:posOffset>
          </wp:positionH>
          <wp:positionV relativeFrom="paragraph">
            <wp:posOffset>9665335</wp:posOffset>
          </wp:positionV>
          <wp:extent cx="6400800" cy="800100"/>
          <wp:effectExtent b="0" l="0" r="0" t="0"/>
          <wp:wrapNone/>
          <wp:docPr id="2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00800" cy="8001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2">
    <w:pPr>
      <w:spacing w:before="120" w:lineRule="auto"/>
      <w:rPr>
        <w:rFonts w:ascii="Tahoma" w:cs="Tahoma" w:eastAsia="Tahoma" w:hAnsi="Tahoma"/>
        <w:b w:val="1"/>
        <w:bCs w:val="1"/>
        <w:color w:val="1a1a1a"/>
        <w:sz w:val="18"/>
        <w:szCs w:val="18"/>
      </w:rPr>
    </w:pPr>
    <w:r w:rsidDel="00000000" w:rsidR="00000000" w:rsidRPr="00000000">
      <w:rPr>
        <w:rFonts w:ascii="Tahoma" w:cs="Tahoma" w:eastAsia="Tahoma" w:hAnsi="Tahoma"/>
        <w:color w:val="ffffff"/>
        <w:sz w:val="15"/>
        <w:szCs w:val="15"/>
        <w:rtl w:val="0"/>
      </w:rPr>
      <w:t xml:space="preserve">.hu</w:t>
    </w:r>
    <w:r w:rsidDel="00000000" w:rsidR="00000000" w:rsidRPr="00000000">
      <w:rPr>
        <w:rFonts w:ascii="Tahoma" w:cs="Tahoma" w:eastAsia="Tahoma" w:hAnsi="Tahoma"/>
        <w:b w:val="1"/>
        <w:bCs w:val="1"/>
        <w:color w:val="1a1a1a"/>
        <w:sz w:val="18"/>
        <w:szCs w:val="18"/>
        <w:rtl w:val="0"/>
      </w:rPr>
      <w:t xml:space="preserve">Egészségés- és Sporttudományi Kar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3809</wp:posOffset>
          </wp:positionH>
          <wp:positionV relativeFrom="paragraph">
            <wp:posOffset>-27939</wp:posOffset>
          </wp:positionV>
          <wp:extent cx="6400800" cy="581025"/>
          <wp:effectExtent b="0" l="0" r="0" t="0"/>
          <wp:wrapNone/>
          <wp:docPr id="1" name="image4.jpg"/>
          <a:graphic>
            <a:graphicData uri="http://schemas.openxmlformats.org/drawingml/2006/picture">
              <pic:pic>
                <pic:nvPicPr>
                  <pic:cNvPr id="0" name="image4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00800" cy="5810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15"/>
        <w:szCs w:val="15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15"/>
        <w:szCs w:val="15"/>
        <w:u w:val="none"/>
        <w:shd w:fill="auto" w:val="clear"/>
        <w:vertAlign w:val="baseline"/>
      </w:rPr>
      <w:drawing>
        <wp:inline distB="0" distT="0" distL="0" distR="0">
          <wp:extent cx="113610" cy="113610"/>
          <wp:effectExtent b="0" l="0" r="0" t="0"/>
          <wp:docPr id="8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3610" cy="11361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1a1a1a"/>
        <w:sz w:val="15"/>
        <w:szCs w:val="15"/>
        <w:u w:val="none"/>
        <w:shd w:fill="auto" w:val="clear"/>
        <w:vertAlign w:val="baseline"/>
        <w:rtl w:val="0"/>
      </w:rPr>
      <w:t xml:space="preserve">902</w:t>
    </w:r>
    <w:r w:rsidDel="00000000" w:rsidR="00000000" w:rsidRPr="00000000">
      <w:rPr>
        <w:rFonts w:ascii="Tahoma" w:cs="Tahoma" w:eastAsia="Tahoma" w:hAnsi="Tahoma"/>
        <w:color w:val="1a1a1a"/>
        <w:sz w:val="15"/>
        <w:szCs w:val="15"/>
        <w:rtl w:val="0"/>
      </w:rPr>
      <w:t xml:space="preserve">4</w:t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1a1a1a"/>
        <w:sz w:val="15"/>
        <w:szCs w:val="15"/>
        <w:u w:val="none"/>
        <w:shd w:fill="auto" w:val="clear"/>
        <w:vertAlign w:val="baseline"/>
        <w:rtl w:val="0"/>
      </w:rPr>
      <w:t xml:space="preserve"> Győr, Szent Imre út 26-28</w:t>
    </w:r>
    <w:r w:rsidDel="00000000" w:rsidR="00000000" w:rsidRPr="00000000">
      <w:rPr>
        <w:rFonts w:ascii="Tahoma" w:cs="Tahoma" w:eastAsia="Tahoma" w:hAnsi="Tahoma"/>
        <w:color w:val="1a1a1a"/>
        <w:sz w:val="15"/>
        <w:szCs w:val="15"/>
        <w:rtl w:val="0"/>
      </w:rPr>
      <w:t xml:space="preserve"> </w:t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15"/>
        <w:szCs w:val="15"/>
        <w:u w:val="none"/>
        <w:shd w:fill="auto" w:val="clear"/>
        <w:vertAlign w:val="baseline"/>
      </w:rPr>
      <w:drawing>
        <wp:inline distB="0" distT="0" distL="0" distR="0">
          <wp:extent cx="141494" cy="141494"/>
          <wp:effectExtent b="0" l="0" r="0" t="0"/>
          <wp:docPr id="6" name="image6.jpg"/>
          <a:graphic>
            <a:graphicData uri="http://schemas.openxmlformats.org/drawingml/2006/picture">
              <pic:pic>
                <pic:nvPicPr>
                  <pic:cNvPr id="0" name="image6.jp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1494" cy="14149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1a1a1a"/>
        <w:sz w:val="15"/>
        <w:szCs w:val="15"/>
        <w:u w:val="none"/>
        <w:shd w:fill="auto" w:val="clear"/>
        <w:vertAlign w:val="baseline"/>
        <w:rtl w:val="0"/>
      </w:rPr>
      <w:t xml:space="preserve">+36 96 503 400/ 3590</w:t>
      <w:tab/>
    </w:r>
    <w:r w:rsidDel="00000000" w:rsidR="00000000" w:rsidRPr="00000000">
      <w:rPr>
        <w:rFonts w:ascii="Tahoma" w:cs="Tahoma" w:eastAsia="Tahoma" w:hAnsi="Tahoma"/>
        <w:color w:val="1a1a1a"/>
        <w:sz w:val="15"/>
        <w:szCs w:val="15"/>
        <w:rtl w:val="0"/>
      </w:rPr>
      <w:t xml:space="preserve"> </w:t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15"/>
        <w:szCs w:val="15"/>
        <w:u w:val="none"/>
        <w:shd w:fill="auto" w:val="clear"/>
        <w:vertAlign w:val="baseline"/>
      </w:rPr>
      <w:drawing>
        <wp:inline distB="0" distT="0" distL="0" distR="0">
          <wp:extent cx="115419" cy="115419"/>
          <wp:effectExtent b="0" l="0" r="0" t="0"/>
          <wp:docPr id="10" name="image5.jpg"/>
          <a:graphic>
            <a:graphicData uri="http://schemas.openxmlformats.org/drawingml/2006/picture">
              <pic:pic>
                <pic:nvPicPr>
                  <pic:cNvPr id="0" name="image5.jpg"/>
                  <pic:cNvPicPr preferRelativeResize="0"/>
                </pic:nvPicPr>
                <pic:blipFill>
                  <a:blip r:embed="rId5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419" cy="115419"/>
                  </a:xfrm>
                  <a:prstGeom prst="rect"/>
                  <a:ln/>
                </pic:spPr>
              </pic:pic>
            </a:graphicData>
          </a:graphic>
        </wp:inline>
      </w:drawing>
    </w:r>
    <w:hyperlink r:id="rId6"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563c1"/>
          <w:sz w:val="15"/>
          <w:szCs w:val="15"/>
          <w:u w:val="single"/>
          <w:shd w:fill="auto" w:val="clear"/>
          <w:vertAlign w:val="baseline"/>
          <w:rtl w:val="0"/>
        </w:rPr>
        <w:t xml:space="preserve">szilli.flora.janka@sze.hu@sze.hu</w:t>
      </w:r>
    </w:hyperlink>
    <w:r w:rsidDel="00000000" w:rsidR="00000000" w:rsidRPr="00000000">
      <w:rPr>
        <w:rFonts w:ascii="Tahoma" w:cs="Tahoma" w:eastAsia="Tahoma" w:hAnsi="Tahoma"/>
        <w:sz w:val="15"/>
        <w:szCs w:val="15"/>
        <w:rtl w:val="0"/>
      </w:rPr>
      <w:t xml:space="preserve"> </w:t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15"/>
        <w:szCs w:val="15"/>
        <w:u w:val="none"/>
        <w:shd w:fill="auto" w:val="clear"/>
        <w:vertAlign w:val="baseline"/>
      </w:rPr>
      <w:drawing>
        <wp:inline distB="0" distT="0" distL="0" distR="0">
          <wp:extent cx="109848" cy="109848"/>
          <wp:effectExtent b="0" l="0" r="0" t="0"/>
          <wp:docPr id="9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7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9848" cy="10984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1a1a1a"/>
        <w:sz w:val="15"/>
        <w:szCs w:val="15"/>
        <w:u w:val="none"/>
        <w:shd w:fill="auto" w:val="clear"/>
        <w:vertAlign w:val="baseline"/>
        <w:rtl w:val="0"/>
      </w:rPr>
      <w:t xml:space="preserve">www.uni.sze.hu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  <w:tab w:val="left" w:leader="none" w:pos="1304"/>
      </w:tabs>
      <w:spacing w:after="0" w:before="0" w:line="240" w:lineRule="auto"/>
      <w:ind w:left="0" w:right="21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ffffff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spacing w:before="120" w:lineRule="auto"/>
      <w:rPr>
        <w:rFonts w:ascii="Tahoma" w:cs="Tahoma" w:eastAsia="Tahoma" w:hAnsi="Tahoma"/>
        <w:b w:val="1"/>
        <w:bCs w:val="1"/>
        <w:color w:val="1a1a1a"/>
        <w:sz w:val="18"/>
        <w:szCs w:val="18"/>
      </w:rPr>
    </w:pPr>
    <w:bookmarkStart w:colFirst="0" w:colLast="0" w:name="_heading=h.bdyw2u79d1ab" w:id="0"/>
    <w:bookmarkEnd w:id="0"/>
    <w:r w:rsidDel="00000000" w:rsidR="00000000" w:rsidRPr="00000000">
      <w:rPr>
        <w:rFonts w:ascii="Tahoma" w:cs="Tahoma" w:eastAsia="Tahoma" w:hAnsi="Tahoma"/>
        <w:b w:val="1"/>
        <w:bCs w:val="1"/>
        <w:color w:val="1a1a1a"/>
        <w:sz w:val="18"/>
        <w:szCs w:val="18"/>
        <w:rtl w:val="0"/>
      </w:rPr>
      <w:t xml:space="preserve">Egészségés- és Sporttudományi Kar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3809</wp:posOffset>
          </wp:positionH>
          <wp:positionV relativeFrom="paragraph">
            <wp:posOffset>-27939</wp:posOffset>
          </wp:positionV>
          <wp:extent cx="6400800" cy="581025"/>
          <wp:effectExtent b="0" l="0" r="0" t="0"/>
          <wp:wrapNone/>
          <wp:docPr id="7" name="image4.jpg"/>
          <a:graphic>
            <a:graphicData uri="http://schemas.openxmlformats.org/drawingml/2006/picture">
              <pic:pic>
                <pic:nvPicPr>
                  <pic:cNvPr id="0" name="image4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400800" cy="5810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15"/>
        <w:szCs w:val="15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15"/>
        <w:szCs w:val="15"/>
        <w:u w:val="none"/>
        <w:shd w:fill="auto" w:val="clear"/>
        <w:vertAlign w:val="baseline"/>
      </w:rPr>
      <w:drawing>
        <wp:inline distB="0" distT="0" distL="0" distR="0">
          <wp:extent cx="113610" cy="113610"/>
          <wp:effectExtent b="0" l="0" r="0" t="0"/>
          <wp:docPr id="1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3610" cy="11361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1a1a1a"/>
        <w:sz w:val="15"/>
        <w:szCs w:val="15"/>
        <w:u w:val="none"/>
        <w:shd w:fill="auto" w:val="clear"/>
        <w:vertAlign w:val="baseline"/>
        <w:rtl w:val="0"/>
      </w:rPr>
      <w:t xml:space="preserve">902</w:t>
    </w:r>
    <w:r w:rsidDel="00000000" w:rsidR="00000000" w:rsidRPr="00000000">
      <w:rPr>
        <w:rFonts w:ascii="Tahoma" w:cs="Tahoma" w:eastAsia="Tahoma" w:hAnsi="Tahoma"/>
        <w:color w:val="1a1a1a"/>
        <w:sz w:val="15"/>
        <w:szCs w:val="15"/>
        <w:rtl w:val="0"/>
      </w:rPr>
      <w:t xml:space="preserve">4</w:t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1a1a1a"/>
        <w:sz w:val="15"/>
        <w:szCs w:val="15"/>
        <w:u w:val="none"/>
        <w:shd w:fill="auto" w:val="clear"/>
        <w:vertAlign w:val="baseline"/>
        <w:rtl w:val="0"/>
      </w:rPr>
      <w:t xml:space="preserve"> Győr, Szent Imre út 26-28</w:t>
    </w:r>
    <w:r w:rsidDel="00000000" w:rsidR="00000000" w:rsidRPr="00000000">
      <w:rPr>
        <w:rFonts w:ascii="Tahoma" w:cs="Tahoma" w:eastAsia="Tahoma" w:hAnsi="Tahoma"/>
        <w:color w:val="1a1a1a"/>
        <w:sz w:val="15"/>
        <w:szCs w:val="15"/>
        <w:rtl w:val="0"/>
      </w:rPr>
      <w:t xml:space="preserve"> </w:t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15"/>
        <w:szCs w:val="15"/>
        <w:u w:val="none"/>
        <w:shd w:fill="auto" w:val="clear"/>
        <w:vertAlign w:val="baseline"/>
      </w:rPr>
      <w:drawing>
        <wp:inline distB="0" distT="0" distL="0" distR="0">
          <wp:extent cx="141494" cy="141494"/>
          <wp:effectExtent b="0" l="0" r="0" t="0"/>
          <wp:docPr id="12" name="image6.jpg"/>
          <a:graphic>
            <a:graphicData uri="http://schemas.openxmlformats.org/drawingml/2006/picture">
              <pic:pic>
                <pic:nvPicPr>
                  <pic:cNvPr id="0" name="image6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1494" cy="14149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1a1a1a"/>
        <w:sz w:val="15"/>
        <w:szCs w:val="15"/>
        <w:u w:val="none"/>
        <w:shd w:fill="auto" w:val="clear"/>
        <w:vertAlign w:val="baseline"/>
        <w:rtl w:val="0"/>
      </w:rPr>
      <w:t xml:space="preserve">+36 96 503 400/ 3590</w:t>
      <w:tab/>
    </w:r>
    <w:r w:rsidDel="00000000" w:rsidR="00000000" w:rsidRPr="00000000">
      <w:rPr>
        <w:rFonts w:ascii="Tahoma" w:cs="Tahoma" w:eastAsia="Tahoma" w:hAnsi="Tahoma"/>
        <w:color w:val="1a1a1a"/>
        <w:sz w:val="15"/>
        <w:szCs w:val="15"/>
        <w:rtl w:val="0"/>
      </w:rPr>
      <w:t xml:space="preserve"> </w:t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15"/>
        <w:szCs w:val="15"/>
        <w:u w:val="none"/>
        <w:shd w:fill="auto" w:val="clear"/>
        <w:vertAlign w:val="baseline"/>
      </w:rPr>
      <w:drawing>
        <wp:inline distB="0" distT="0" distL="0" distR="0">
          <wp:extent cx="115419" cy="115419"/>
          <wp:effectExtent b="0" l="0" r="0" t="0"/>
          <wp:docPr id="13" name="image5.jpg"/>
          <a:graphic>
            <a:graphicData uri="http://schemas.openxmlformats.org/drawingml/2006/picture">
              <pic:pic>
                <pic:nvPicPr>
                  <pic:cNvPr id="0" name="image5.jp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5419" cy="115419"/>
                  </a:xfrm>
                  <a:prstGeom prst="rect"/>
                  <a:ln/>
                </pic:spPr>
              </pic:pic>
            </a:graphicData>
          </a:graphic>
        </wp:inline>
      </w:drawing>
    </w:r>
    <w:hyperlink r:id="rId5">
      <w:r w:rsidDel="00000000" w:rsidR="00000000" w:rsidRPr="00000000">
        <w:rPr>
          <w:rFonts w:ascii="Tahoma" w:cs="Tahoma" w:eastAsia="Tahoma" w:hAnsi="Tahoma"/>
          <w:b w:val="0"/>
          <w:bCs w:val="0"/>
          <w:i w:val="0"/>
          <w:iCs w:val="0"/>
          <w:smallCaps w:val="0"/>
          <w:strike w:val="0"/>
          <w:color w:val="0563c1"/>
          <w:sz w:val="15"/>
          <w:szCs w:val="15"/>
          <w:u w:val="single"/>
          <w:shd w:fill="auto" w:val="clear"/>
          <w:vertAlign w:val="baseline"/>
          <w:rtl w:val="0"/>
        </w:rPr>
        <w:t xml:space="preserve">szilli.flora.janka@sze.hu@sze.hu</w:t>
      </w:r>
    </w:hyperlink>
    <w:r w:rsidDel="00000000" w:rsidR="00000000" w:rsidRPr="00000000">
      <w:rPr>
        <w:rFonts w:ascii="Tahoma" w:cs="Tahoma" w:eastAsia="Tahoma" w:hAnsi="Tahoma"/>
        <w:sz w:val="15"/>
        <w:szCs w:val="15"/>
        <w:rtl w:val="0"/>
      </w:rPr>
      <w:t xml:space="preserve"> </w:t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000000"/>
        <w:sz w:val="15"/>
        <w:szCs w:val="15"/>
        <w:u w:val="none"/>
        <w:shd w:fill="auto" w:val="clear"/>
        <w:vertAlign w:val="baseline"/>
      </w:rPr>
      <w:drawing>
        <wp:inline distB="0" distT="0" distL="0" distR="0">
          <wp:extent cx="109848" cy="109848"/>
          <wp:effectExtent b="0" l="0" r="0" t="0"/>
          <wp:docPr id="14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6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9848" cy="10984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ahoma" w:cs="Tahoma" w:eastAsia="Tahoma" w:hAnsi="Tahoma"/>
        <w:b w:val="0"/>
        <w:bCs w:val="0"/>
        <w:i w:val="0"/>
        <w:iCs w:val="0"/>
        <w:smallCaps w:val="0"/>
        <w:strike w:val="0"/>
        <w:color w:val="1a1a1a"/>
        <w:sz w:val="15"/>
        <w:szCs w:val="15"/>
        <w:u w:val="none"/>
        <w:shd w:fill="auto" w:val="clear"/>
        <w:vertAlign w:val="baseline"/>
        <w:rtl w:val="0"/>
      </w:rPr>
      <w:t xml:space="preserve">www.uni.sze.hu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2133600" cy="546100"/>
          <wp:effectExtent b="0" l="0" r="0" t="0"/>
          <wp:docPr id="3" name="image7.jpg"/>
          <a:graphic>
            <a:graphicData uri="http://schemas.openxmlformats.org/drawingml/2006/picture">
              <pic:pic>
                <pic:nvPicPr>
                  <pic:cNvPr id="0" name="image7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33600" cy="546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2133600" cy="546100"/>
          <wp:effectExtent b="0" l="0" r="0" t="0"/>
          <wp:docPr id="5" name="image7.jpg"/>
          <a:graphic>
            <a:graphicData uri="http://schemas.openxmlformats.org/drawingml/2006/picture">
              <pic:pic>
                <pic:nvPicPr>
                  <pic:cNvPr id="0" name="image7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33600" cy="546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2133600" cy="546100"/>
          <wp:effectExtent b="0" l="0" r="0" t="0"/>
          <wp:docPr id="4" name="image7.jpg"/>
          <a:graphic>
            <a:graphicData uri="http://schemas.openxmlformats.org/drawingml/2006/picture">
              <pic:pic>
                <pic:nvPicPr>
                  <pic:cNvPr id="0" name="image7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33600" cy="546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h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4.jpg"/><Relationship Id="rId3" Type="http://schemas.openxmlformats.org/officeDocument/2006/relationships/image" Target="media/image1.jpg"/><Relationship Id="rId4" Type="http://schemas.openxmlformats.org/officeDocument/2006/relationships/image" Target="media/image6.jpg"/><Relationship Id="rId5" Type="http://schemas.openxmlformats.org/officeDocument/2006/relationships/image" Target="media/image5.jpg"/><Relationship Id="rId6" Type="http://schemas.openxmlformats.org/officeDocument/2006/relationships/hyperlink" Target="about:blank" TargetMode="External"/><Relationship Id="rId7" Type="http://schemas.openxmlformats.org/officeDocument/2006/relationships/image" Target="media/image2.jpg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4.jpg"/><Relationship Id="rId2" Type="http://schemas.openxmlformats.org/officeDocument/2006/relationships/image" Target="media/image1.jpg"/><Relationship Id="rId3" Type="http://schemas.openxmlformats.org/officeDocument/2006/relationships/image" Target="media/image6.jpg"/><Relationship Id="rId4" Type="http://schemas.openxmlformats.org/officeDocument/2006/relationships/image" Target="media/image5.jpg"/><Relationship Id="rId5" Type="http://schemas.openxmlformats.org/officeDocument/2006/relationships/hyperlink" Target="about:blank" TargetMode="External"/><Relationship Id="rId6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7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7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gXZM8chK0f5iTYLbfMEXUwq7VA==">CgMxLjAyDmguYmR5dzJ1NzlkMWFiOAByITEwWkNOcFB1TFNoQXdBMGdDSENaTDRpZEhxVS1TdDhrSA==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